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C6E3E" w14:textId="78009572" w:rsidR="00AC69E1" w:rsidRDefault="00AC69E1" w:rsidP="00D75392">
      <w:pPr>
        <w:jc w:val="right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Warszawa, 0</w:t>
      </w:r>
      <w:r w:rsidR="00871168">
        <w:rPr>
          <w:rFonts w:ascii="Poppins" w:hAnsi="Poppins" w:cs="Poppins"/>
          <w:b/>
          <w:bCs/>
          <w:sz w:val="20"/>
          <w:szCs w:val="20"/>
        </w:rPr>
        <w:t>1</w:t>
      </w:r>
      <w:r>
        <w:rPr>
          <w:rFonts w:ascii="Poppins" w:hAnsi="Poppins" w:cs="Poppins"/>
          <w:b/>
          <w:bCs/>
          <w:sz w:val="20"/>
          <w:szCs w:val="20"/>
        </w:rPr>
        <w:t>.</w:t>
      </w:r>
      <w:r w:rsidR="002D7839">
        <w:rPr>
          <w:rFonts w:ascii="Poppins" w:hAnsi="Poppins" w:cs="Poppins"/>
          <w:b/>
          <w:bCs/>
          <w:sz w:val="20"/>
          <w:szCs w:val="20"/>
        </w:rPr>
        <w:t>1</w:t>
      </w:r>
      <w:r w:rsidR="00871168">
        <w:rPr>
          <w:rFonts w:ascii="Poppins" w:hAnsi="Poppins" w:cs="Poppins"/>
          <w:b/>
          <w:bCs/>
          <w:sz w:val="20"/>
          <w:szCs w:val="20"/>
        </w:rPr>
        <w:t>2</w:t>
      </w:r>
      <w:r>
        <w:rPr>
          <w:rFonts w:ascii="Poppins" w:hAnsi="Poppins" w:cs="Poppins"/>
          <w:b/>
          <w:bCs/>
          <w:sz w:val="20"/>
          <w:szCs w:val="20"/>
        </w:rPr>
        <w:t>.2023 r.</w:t>
      </w:r>
    </w:p>
    <w:p w14:paraId="427E1844" w14:textId="560D86C1" w:rsidR="00AC69E1" w:rsidRDefault="00AC69E1" w:rsidP="00D75392">
      <w:pPr>
        <w:jc w:val="both"/>
        <w:rPr>
          <w:rFonts w:ascii="Poppins" w:hAnsi="Poppins" w:cs="Poppins"/>
          <w:b/>
          <w:bCs/>
          <w:sz w:val="20"/>
          <w:szCs w:val="20"/>
        </w:rPr>
      </w:pPr>
      <w:r w:rsidRPr="00765947">
        <w:rPr>
          <w:rFonts w:ascii="Poppins" w:hAnsi="Poppins" w:cs="Poppins"/>
          <w:b/>
          <w:bCs/>
          <w:sz w:val="20"/>
          <w:szCs w:val="20"/>
        </w:rPr>
        <w:t>Autor: RynekPierwotny.pl</w:t>
      </w:r>
    </w:p>
    <w:p w14:paraId="017D589B" w14:textId="59635321" w:rsidR="004647DF" w:rsidRDefault="004647DF" w:rsidP="00D134F0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</w:pPr>
      <w:r w:rsidRPr="004647DF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 xml:space="preserve">Ceny ofertowe nowych mieszkań – </w:t>
      </w:r>
      <w:r w:rsidR="00871168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>listopad</w:t>
      </w:r>
      <w:r w:rsidRPr="004647DF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 xml:space="preserve"> 2023 (wstępne dane)</w:t>
      </w:r>
    </w:p>
    <w:p w14:paraId="7B5E24AD" w14:textId="1CFF9BF1" w:rsidR="008C004E" w:rsidRDefault="002A5C18" w:rsidP="004647DF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b/>
          <w:bCs/>
          <w:color w:val="23232D"/>
          <w:lang w:eastAsia="pl-PL"/>
        </w:rPr>
      </w:pPr>
      <w:r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W listopadzie najtańsze mieszkania w ofercie firm deweloperskich </w:t>
      </w:r>
      <w:r w:rsidR="00D134F0">
        <w:rPr>
          <w:rFonts w:ascii="Poppins" w:eastAsia="Times New Roman" w:hAnsi="Poppins" w:cs="Poppins"/>
          <w:b/>
          <w:bCs/>
          <w:color w:val="23232D"/>
          <w:lang w:eastAsia="pl-PL"/>
        </w:rPr>
        <w:t>znikały w mgnieniu</w:t>
      </w:r>
      <w:r w:rsidR="00B6026D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oka</w:t>
      </w:r>
      <w:r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. W Poznaniu  </w:t>
      </w:r>
      <w:r w:rsidR="004647DF" w:rsidRPr="004647DF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średnia cena metra kwadratowego </w:t>
      </w:r>
      <w:r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przekroczyła z tego powodu pułap 12 tys. zł. Wrocław był jedyną metropolią, w której listopad </w:t>
      </w:r>
      <w:r w:rsidR="001D7997">
        <w:rPr>
          <w:rFonts w:ascii="Poppins" w:eastAsia="Times New Roman" w:hAnsi="Poppins" w:cs="Poppins"/>
          <w:b/>
          <w:bCs/>
          <w:color w:val="23232D"/>
          <w:lang w:eastAsia="pl-PL"/>
        </w:rPr>
        <w:t>przyniósł stabilizację cen</w:t>
      </w:r>
      <w:r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</w:t>
      </w:r>
      <w:r w:rsidR="004647DF" w:rsidRPr="004647DF">
        <w:rPr>
          <w:rFonts w:ascii="Poppins" w:eastAsia="Times New Roman" w:hAnsi="Poppins" w:cs="Poppins"/>
          <w:b/>
          <w:bCs/>
          <w:color w:val="23232D"/>
          <w:lang w:eastAsia="pl-PL"/>
        </w:rPr>
        <w:t>– wynika ze wstępnych danych BIG DATA RynekPierwotny.pl.</w:t>
      </w:r>
    </w:p>
    <w:p w14:paraId="707420E4" w14:textId="171A5A80" w:rsidR="00C940D0" w:rsidRDefault="00236BFB" w:rsidP="000311F2">
      <w:pPr>
        <w:rPr>
          <w:rFonts w:ascii="Poppins" w:hAnsi="Poppins" w:cs="Poppins"/>
        </w:rPr>
      </w:pPr>
      <w:r w:rsidRPr="00236BFB">
        <w:rPr>
          <w:rFonts w:ascii="Poppins" w:eastAsia="Times New Roman" w:hAnsi="Poppins" w:cs="Poppins"/>
          <w:color w:val="23232D"/>
          <w:lang w:eastAsia="pl-PL"/>
        </w:rPr>
        <w:t xml:space="preserve">Po potężnym </w:t>
      </w:r>
      <w:r>
        <w:rPr>
          <w:rFonts w:ascii="Poppins" w:eastAsia="Times New Roman" w:hAnsi="Poppins" w:cs="Poppins"/>
          <w:color w:val="23232D"/>
          <w:lang w:eastAsia="pl-PL"/>
        </w:rPr>
        <w:t>wzroście średniej ceny metra kwadratowego mieszkań w trzecim kwartale</w:t>
      </w:r>
      <w:r w:rsidR="000A6618">
        <w:rPr>
          <w:rFonts w:ascii="Poppins" w:eastAsia="Times New Roman" w:hAnsi="Poppins" w:cs="Poppins"/>
          <w:color w:val="23232D"/>
          <w:lang w:eastAsia="pl-PL"/>
        </w:rPr>
        <w:t xml:space="preserve"> tego roku </w:t>
      </w:r>
      <w:r>
        <w:rPr>
          <w:rFonts w:ascii="Poppins" w:eastAsia="Times New Roman" w:hAnsi="Poppins" w:cs="Poppins"/>
          <w:color w:val="23232D"/>
          <w:lang w:eastAsia="pl-PL"/>
        </w:rPr>
        <w:t>zastanawialiśmy się, co przyniesie czwarty kwartał</w:t>
      </w:r>
      <w:r w:rsidR="000A6618">
        <w:rPr>
          <w:rFonts w:ascii="Poppins" w:eastAsia="Times New Roman" w:hAnsi="Poppins" w:cs="Poppins"/>
          <w:color w:val="23232D"/>
          <w:lang w:eastAsia="pl-PL"/>
        </w:rPr>
        <w:t>. Zaczął się on dość optymistycznie, bo w październiku tempo wzrostu cen wyraźnie osłabło w większości metropolii.</w:t>
      </w:r>
      <w:r w:rsidR="004D5385">
        <w:rPr>
          <w:rFonts w:ascii="Poppins" w:eastAsia="Times New Roman" w:hAnsi="Poppins" w:cs="Poppins"/>
          <w:color w:val="23232D"/>
          <w:lang w:eastAsia="pl-PL"/>
        </w:rPr>
        <w:t xml:space="preserve"> </w:t>
      </w:r>
      <w:r w:rsidR="000A6618" w:rsidRPr="000A6618">
        <w:rPr>
          <w:rFonts w:ascii="Poppins" w:hAnsi="Poppins" w:cs="Poppins"/>
        </w:rPr>
        <w:t xml:space="preserve">Wyjątkami były Trójmiasto </w:t>
      </w:r>
      <w:r w:rsidR="000A6618">
        <w:rPr>
          <w:rFonts w:ascii="Poppins" w:hAnsi="Poppins" w:cs="Poppins"/>
        </w:rPr>
        <w:t>i</w:t>
      </w:r>
      <w:r w:rsidR="000A6618" w:rsidRPr="000A6618">
        <w:rPr>
          <w:rFonts w:ascii="Poppins" w:hAnsi="Poppins" w:cs="Poppins"/>
        </w:rPr>
        <w:t xml:space="preserve"> Wrocław.</w:t>
      </w:r>
      <w:r w:rsidR="000A6618">
        <w:rPr>
          <w:rFonts w:ascii="Poppins" w:hAnsi="Poppins" w:cs="Poppins"/>
        </w:rPr>
        <w:t xml:space="preserve"> W listopadzie sytuacja zmieniła się jednak dość diametralnie. Ze wstępnych danych BIG DATA RynekPierwotny.pl wynika, że tym razem Wrocław był jedyną </w:t>
      </w:r>
      <w:r w:rsidR="00EA316E">
        <w:rPr>
          <w:rFonts w:ascii="Poppins" w:hAnsi="Poppins" w:cs="Poppins"/>
        </w:rPr>
        <w:t xml:space="preserve">metropolią, w której średnia cena metra kwadratowego w ofercie firm deweloperskich utrzymała poziom z poprzedniego miesiąca. Niestety, </w:t>
      </w:r>
      <w:r w:rsidR="00C940D0">
        <w:rPr>
          <w:rFonts w:ascii="Poppins" w:hAnsi="Poppins" w:cs="Poppins"/>
        </w:rPr>
        <w:t xml:space="preserve">w </w:t>
      </w:r>
      <w:r w:rsidR="00EA316E">
        <w:rPr>
          <w:rFonts w:ascii="Poppins" w:hAnsi="Poppins" w:cs="Poppins"/>
        </w:rPr>
        <w:t>Trójmi</w:t>
      </w:r>
      <w:r w:rsidR="00C940D0">
        <w:rPr>
          <w:rFonts w:ascii="Poppins" w:hAnsi="Poppins" w:cs="Poppins"/>
        </w:rPr>
        <w:t xml:space="preserve">eście średnia znów poszła mocno w górę. </w:t>
      </w:r>
      <w:r w:rsidR="004627A8">
        <w:rPr>
          <w:rFonts w:ascii="Poppins" w:hAnsi="Poppins" w:cs="Poppins"/>
        </w:rPr>
        <w:t>Jednak</w:t>
      </w:r>
      <w:r w:rsidR="00C940D0">
        <w:rPr>
          <w:rFonts w:ascii="Poppins" w:hAnsi="Poppins" w:cs="Poppins"/>
        </w:rPr>
        <w:t xml:space="preserve"> największy, bo aż 5% jej wzrost, odnotowa</w:t>
      </w:r>
      <w:r w:rsidR="00D134F0">
        <w:rPr>
          <w:rFonts w:ascii="Poppins" w:hAnsi="Poppins" w:cs="Poppins"/>
        </w:rPr>
        <w:t>no</w:t>
      </w:r>
      <w:r w:rsidR="00C940D0">
        <w:rPr>
          <w:rFonts w:ascii="Poppins" w:hAnsi="Poppins" w:cs="Poppins"/>
        </w:rPr>
        <w:t xml:space="preserve"> w Poznaniu i w miastach Górnośląsko-Zagłębiowskiej Metropolii. </w:t>
      </w:r>
      <w:r w:rsidR="00D134F0">
        <w:rPr>
          <w:rFonts w:ascii="Poppins" w:hAnsi="Poppins" w:cs="Poppins"/>
        </w:rPr>
        <w:t>Warto przypomnieć</w:t>
      </w:r>
      <w:r w:rsidR="00C940D0">
        <w:rPr>
          <w:rFonts w:ascii="Poppins" w:hAnsi="Poppins" w:cs="Poppins"/>
        </w:rPr>
        <w:t xml:space="preserve">, że w poprzednim miesiącu w obu tych metropoliach ceny w przeliczeniu na metr kwadratowy praktycznie nie drgnęły. </w:t>
      </w:r>
    </w:p>
    <w:p w14:paraId="623D4534" w14:textId="4798CC05" w:rsidR="00C940D0" w:rsidRDefault="00D134F0" w:rsidP="000311F2">
      <w:pPr>
        <w:rPr>
          <w:rFonts w:ascii="Poppins" w:hAnsi="Poppins" w:cs="Poppins"/>
        </w:rPr>
      </w:pPr>
      <w:r>
        <w:rPr>
          <w:noProof/>
        </w:rPr>
        <w:drawing>
          <wp:inline distT="0" distB="0" distL="0" distR="0" wp14:anchorId="713704E1" wp14:editId="44A99709">
            <wp:extent cx="6638925" cy="3686175"/>
            <wp:effectExtent l="0" t="0" r="9525" b="9525"/>
            <wp:docPr id="1776293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7E1F" w14:textId="320B69F1" w:rsidR="00AF5B18" w:rsidRDefault="00AF5B18" w:rsidP="000311F2">
      <w:pPr>
        <w:rPr>
          <w:rFonts w:ascii="Poppins" w:hAnsi="Poppins" w:cs="Poppins"/>
        </w:rPr>
      </w:pPr>
      <w:r>
        <w:rPr>
          <w:rFonts w:ascii="Poppins" w:hAnsi="Poppins" w:cs="Poppins"/>
        </w:rPr>
        <w:lastRenderedPageBreak/>
        <w:t xml:space="preserve">- </w:t>
      </w:r>
      <w:r w:rsidR="00C940D0" w:rsidRPr="004D5385">
        <w:rPr>
          <w:rFonts w:ascii="Poppins" w:hAnsi="Poppins" w:cs="Poppins"/>
          <w:i/>
          <w:iCs/>
        </w:rPr>
        <w:t xml:space="preserve">W przypadku Górnośląsko-Zagłębiowskiej Metropolii wyjaśnienie tego „fenomenu” jest proste. </w:t>
      </w:r>
      <w:r w:rsidR="00BC64E8" w:rsidRPr="004D5385">
        <w:rPr>
          <w:rFonts w:ascii="Poppins" w:hAnsi="Poppins" w:cs="Poppins"/>
          <w:i/>
          <w:iCs/>
        </w:rPr>
        <w:t>W</w:t>
      </w:r>
      <w:r w:rsidR="00C940D0" w:rsidRPr="004D5385">
        <w:rPr>
          <w:rFonts w:ascii="Poppins" w:hAnsi="Poppins" w:cs="Poppins"/>
          <w:i/>
          <w:iCs/>
        </w:rPr>
        <w:t xml:space="preserve"> Katowicach </w:t>
      </w:r>
      <w:r w:rsidR="00BC64E8" w:rsidRPr="004D5385">
        <w:rPr>
          <w:rFonts w:ascii="Poppins" w:hAnsi="Poppins" w:cs="Poppins"/>
          <w:i/>
          <w:iCs/>
        </w:rPr>
        <w:t xml:space="preserve">jeden z deweloperów wprowadził do sprzedaży </w:t>
      </w:r>
      <w:r w:rsidR="00C940D0" w:rsidRPr="004D5385">
        <w:rPr>
          <w:rFonts w:ascii="Poppins" w:hAnsi="Poppins" w:cs="Poppins"/>
          <w:i/>
          <w:iCs/>
        </w:rPr>
        <w:t>duż</w:t>
      </w:r>
      <w:r w:rsidR="00BC64E8" w:rsidRPr="004D5385">
        <w:rPr>
          <w:rFonts w:ascii="Poppins" w:hAnsi="Poppins" w:cs="Poppins"/>
          <w:i/>
          <w:iCs/>
        </w:rPr>
        <w:t>ą</w:t>
      </w:r>
      <w:r w:rsidR="00C940D0" w:rsidRPr="004D5385">
        <w:rPr>
          <w:rFonts w:ascii="Poppins" w:hAnsi="Poppins" w:cs="Poppins"/>
          <w:i/>
          <w:iCs/>
        </w:rPr>
        <w:t xml:space="preserve"> pul</w:t>
      </w:r>
      <w:r w:rsidR="00BC64E8" w:rsidRPr="004D5385">
        <w:rPr>
          <w:rFonts w:ascii="Poppins" w:hAnsi="Poppins" w:cs="Poppins"/>
          <w:i/>
          <w:iCs/>
        </w:rPr>
        <w:t>ę</w:t>
      </w:r>
      <w:r w:rsidR="00C940D0" w:rsidRPr="004D5385">
        <w:rPr>
          <w:rFonts w:ascii="Poppins" w:hAnsi="Poppins" w:cs="Poppins"/>
          <w:i/>
          <w:iCs/>
        </w:rPr>
        <w:t xml:space="preserve"> drogich</w:t>
      </w:r>
      <w:r w:rsidR="00BC64E8" w:rsidRPr="004D5385">
        <w:rPr>
          <w:rFonts w:ascii="Poppins" w:hAnsi="Poppins" w:cs="Poppins"/>
          <w:i/>
          <w:iCs/>
        </w:rPr>
        <w:t>,</w:t>
      </w:r>
      <w:r w:rsidR="004627A8">
        <w:rPr>
          <w:rFonts w:ascii="Poppins" w:hAnsi="Poppins" w:cs="Poppins"/>
          <w:i/>
          <w:iCs/>
        </w:rPr>
        <w:t xml:space="preserve"> </w:t>
      </w:r>
      <w:r w:rsidR="00BC64E8" w:rsidRPr="004D5385">
        <w:rPr>
          <w:rFonts w:ascii="Poppins" w:hAnsi="Poppins" w:cs="Poppins"/>
          <w:i/>
          <w:iCs/>
        </w:rPr>
        <w:t xml:space="preserve">jak ten rynek </w:t>
      </w:r>
      <w:r w:rsidR="00C940D0" w:rsidRPr="004D5385">
        <w:rPr>
          <w:rFonts w:ascii="Poppins" w:hAnsi="Poppins" w:cs="Poppins"/>
          <w:i/>
          <w:iCs/>
        </w:rPr>
        <w:t>mieszkań, w tym inwestycyjnych</w:t>
      </w:r>
      <w:r w:rsidR="009E7039" w:rsidRPr="004D5385">
        <w:rPr>
          <w:rFonts w:ascii="Poppins" w:hAnsi="Poppins" w:cs="Poppins"/>
          <w:i/>
          <w:iCs/>
        </w:rPr>
        <w:t xml:space="preserve"> po ponad 16 tys. zł za m kw.</w:t>
      </w:r>
      <w:r w:rsidR="00BC64E8" w:rsidRPr="004D5385">
        <w:rPr>
          <w:rFonts w:ascii="Poppins" w:hAnsi="Poppins" w:cs="Poppins"/>
          <w:i/>
          <w:iCs/>
        </w:rPr>
        <w:t xml:space="preserve"> I właśnie te lokale tak </w:t>
      </w:r>
      <w:r w:rsidR="00C940D0" w:rsidRPr="004D5385">
        <w:rPr>
          <w:rFonts w:ascii="Poppins" w:hAnsi="Poppins" w:cs="Poppins"/>
          <w:i/>
          <w:iCs/>
        </w:rPr>
        <w:t>wywindowały średnią</w:t>
      </w:r>
      <w:r>
        <w:rPr>
          <w:rFonts w:ascii="Poppins" w:hAnsi="Poppins" w:cs="Poppins"/>
        </w:rPr>
        <w:t xml:space="preserve"> – wyjaśnia Marek Wielgo, ekspert portalu RynekPierwotny.pl.  </w:t>
      </w:r>
    </w:p>
    <w:p w14:paraId="733A6428" w14:textId="381FE6B2" w:rsidR="00C940D0" w:rsidRDefault="00AF5B18" w:rsidP="000311F2">
      <w:pPr>
        <w:rPr>
          <w:rFonts w:ascii="Poppins" w:hAnsi="Poppins" w:cs="Poppins"/>
        </w:rPr>
      </w:pPr>
      <w:r>
        <w:rPr>
          <w:rFonts w:ascii="Poppins" w:hAnsi="Poppins" w:cs="Poppins"/>
        </w:rPr>
        <w:t xml:space="preserve">I dodaje, że także </w:t>
      </w:r>
      <w:r w:rsidR="009E7039">
        <w:rPr>
          <w:rFonts w:ascii="Poppins" w:hAnsi="Poppins" w:cs="Poppins"/>
        </w:rPr>
        <w:t xml:space="preserve">w stolicy Wielkopolski w ofercie firm deweloperskich pojawiły się w listopadzie trzy drogie inwestycje </w:t>
      </w:r>
      <w:r w:rsidR="00BC64E8">
        <w:rPr>
          <w:rFonts w:ascii="Poppins" w:hAnsi="Poppins" w:cs="Poppins"/>
        </w:rPr>
        <w:t>(</w:t>
      </w:r>
      <w:r w:rsidR="009E7039">
        <w:rPr>
          <w:rFonts w:ascii="Poppins" w:hAnsi="Poppins" w:cs="Poppins"/>
        </w:rPr>
        <w:t>w centrum miasta</w:t>
      </w:r>
      <w:r w:rsidR="00BC64E8">
        <w:rPr>
          <w:rFonts w:ascii="Poppins" w:hAnsi="Poppins" w:cs="Poppins"/>
        </w:rPr>
        <w:t>)</w:t>
      </w:r>
      <w:r w:rsidR="009E7039">
        <w:rPr>
          <w:rFonts w:ascii="Poppins" w:hAnsi="Poppins" w:cs="Poppins"/>
        </w:rPr>
        <w:t xml:space="preserve"> ze średnimi cenami ok. 18 tys. zł za metr. </w:t>
      </w:r>
      <w:r>
        <w:rPr>
          <w:rFonts w:ascii="Poppins" w:hAnsi="Poppins" w:cs="Poppins"/>
        </w:rPr>
        <w:t>Jednak r</w:t>
      </w:r>
      <w:r w:rsidR="009E7039">
        <w:rPr>
          <w:rFonts w:ascii="Poppins" w:hAnsi="Poppins" w:cs="Poppins"/>
        </w:rPr>
        <w:t xml:space="preserve">ównocześnie bardzo wzrosła tu sprzedaż nowych mieszkań, a kupujący wybierali z oferty deweloperów lokale </w:t>
      </w:r>
      <w:r>
        <w:rPr>
          <w:rFonts w:ascii="Poppins" w:hAnsi="Poppins" w:cs="Poppins"/>
        </w:rPr>
        <w:t xml:space="preserve">dużo </w:t>
      </w:r>
      <w:r w:rsidR="009E7039">
        <w:rPr>
          <w:rFonts w:ascii="Poppins" w:hAnsi="Poppins" w:cs="Poppins"/>
        </w:rPr>
        <w:t xml:space="preserve">tańsze od </w:t>
      </w:r>
      <w:r>
        <w:rPr>
          <w:rFonts w:ascii="Poppins" w:hAnsi="Poppins" w:cs="Poppins"/>
        </w:rPr>
        <w:t xml:space="preserve">wprowadzonych na rynek. W efekcie średnia cena metra kwadratowego wszystkich mieszkań w ofercie </w:t>
      </w:r>
      <w:r w:rsidR="009E7039">
        <w:rPr>
          <w:rFonts w:ascii="Poppins" w:hAnsi="Poppins" w:cs="Poppins"/>
        </w:rPr>
        <w:t xml:space="preserve">przekroczyła w listopadzie poziom 12 tys. zł za m kw.   </w:t>
      </w:r>
      <w:r w:rsidR="00C940D0">
        <w:rPr>
          <w:rFonts w:ascii="Poppins" w:hAnsi="Poppins" w:cs="Poppins"/>
        </w:rPr>
        <w:t xml:space="preserve"> </w:t>
      </w:r>
    </w:p>
    <w:p w14:paraId="73222B75" w14:textId="6C5E9C91" w:rsidR="00C940D0" w:rsidRDefault="00D134F0" w:rsidP="000311F2">
      <w:pPr>
        <w:rPr>
          <w:rFonts w:ascii="Poppins" w:hAnsi="Poppins" w:cs="Poppins"/>
        </w:rPr>
      </w:pPr>
      <w:r>
        <w:rPr>
          <w:noProof/>
        </w:rPr>
        <w:drawing>
          <wp:inline distT="0" distB="0" distL="0" distR="0" wp14:anchorId="6E217A38" wp14:editId="4F6083B5">
            <wp:extent cx="6629400" cy="3676650"/>
            <wp:effectExtent l="0" t="0" r="0" b="0"/>
            <wp:docPr id="94910088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3D5D" w14:textId="6E86DDF8" w:rsidR="00970819" w:rsidRDefault="00AF5B18" w:rsidP="000311F2">
      <w:pPr>
        <w:rPr>
          <w:rFonts w:ascii="Poppins" w:hAnsi="Poppins" w:cs="Poppins"/>
        </w:rPr>
      </w:pPr>
      <w:r>
        <w:rPr>
          <w:rFonts w:ascii="Poppins" w:hAnsi="Poppins" w:cs="Poppins"/>
        </w:rPr>
        <w:t xml:space="preserve">Podobny mechanizm podwyżek działał także w Trójmieście, Łodzi i </w:t>
      </w:r>
      <w:r w:rsidR="00D134F0">
        <w:rPr>
          <w:rFonts w:ascii="Poppins" w:hAnsi="Poppins" w:cs="Poppins"/>
        </w:rPr>
        <w:t xml:space="preserve">w </w:t>
      </w:r>
      <w:r>
        <w:rPr>
          <w:rFonts w:ascii="Poppins" w:hAnsi="Poppins" w:cs="Poppins"/>
        </w:rPr>
        <w:t>Warszawie</w:t>
      </w:r>
      <w:r w:rsidR="00D059DB">
        <w:rPr>
          <w:rFonts w:ascii="Poppins" w:hAnsi="Poppins" w:cs="Poppins"/>
        </w:rPr>
        <w:t xml:space="preserve">, gdzie </w:t>
      </w:r>
      <w:r>
        <w:rPr>
          <w:rFonts w:ascii="Poppins" w:hAnsi="Poppins" w:cs="Poppins"/>
        </w:rPr>
        <w:t>najlepiej sprzedawały się mieszkania z segmentu popularnego</w:t>
      </w:r>
      <w:r w:rsidR="00D059DB">
        <w:rPr>
          <w:rFonts w:ascii="Poppins" w:hAnsi="Poppins" w:cs="Poppins"/>
        </w:rPr>
        <w:t>, a równocześnie deweloperzy uzupełniali ofertę drogimi lokalami</w:t>
      </w:r>
      <w:r>
        <w:rPr>
          <w:rFonts w:ascii="Poppins" w:hAnsi="Poppins" w:cs="Poppins"/>
        </w:rPr>
        <w:t xml:space="preserve">. </w:t>
      </w:r>
      <w:r w:rsidR="00D059DB">
        <w:rPr>
          <w:rFonts w:ascii="Poppins" w:hAnsi="Poppins" w:cs="Poppins"/>
        </w:rPr>
        <w:t xml:space="preserve">Z kolei w Krakowie pojawiło się w ofercie sporo stosunkowo tanich mieszkań. Nie zapobiegło to jednak podwyżce średniej, choć trzeba przyznać, że </w:t>
      </w:r>
      <w:r w:rsidR="00970819">
        <w:rPr>
          <w:rFonts w:ascii="Poppins" w:hAnsi="Poppins" w:cs="Poppins"/>
        </w:rPr>
        <w:t>dynamika wzrostu wyraźnie spadła w ostatnich dwóch miesiącach</w:t>
      </w:r>
      <w:r w:rsidR="00D059DB">
        <w:rPr>
          <w:rFonts w:ascii="Poppins" w:hAnsi="Poppins" w:cs="Poppins"/>
        </w:rPr>
        <w:t>.</w:t>
      </w:r>
      <w:r w:rsidR="00970819">
        <w:rPr>
          <w:rFonts w:ascii="Poppins" w:hAnsi="Poppins" w:cs="Poppins"/>
        </w:rPr>
        <w:t xml:space="preserve"> </w:t>
      </w:r>
      <w:r w:rsidR="00010FEA" w:rsidRPr="004D5385">
        <w:rPr>
          <w:rFonts w:ascii="Poppins" w:eastAsia="Times New Roman" w:hAnsi="Poppins" w:cs="Poppins"/>
          <w:lang w:eastAsia="pl-PL"/>
        </w:rPr>
        <w:t>W trzecim kwartale byliśmy świadkami potężnych wzrostów średniej ceny metra kwadratowego mieszkań dostępnych w ofercie krakowskich firm deweloperskich. W lipcu ta średnia przebiła pułap 14 tys. zł, a dwa miesiące później – 15 tys. zł za metr!</w:t>
      </w:r>
    </w:p>
    <w:p w14:paraId="76A76CFC" w14:textId="7D751794" w:rsidR="00970819" w:rsidRDefault="00970819" w:rsidP="000311F2">
      <w:pPr>
        <w:rPr>
          <w:rFonts w:ascii="Poppins" w:hAnsi="Poppins" w:cs="Poppins"/>
        </w:rPr>
      </w:pPr>
      <w:r>
        <w:rPr>
          <w:rFonts w:ascii="Poppins" w:hAnsi="Poppins" w:cs="Poppins"/>
        </w:rPr>
        <w:t xml:space="preserve">– </w:t>
      </w:r>
      <w:r w:rsidRPr="004D5385">
        <w:rPr>
          <w:rFonts w:ascii="Poppins" w:hAnsi="Poppins" w:cs="Poppins"/>
          <w:i/>
          <w:iCs/>
        </w:rPr>
        <w:t>W listopadzie na tle pozostałych metropolii na plus wyróżniał się Wrocław. Cieszy wzrost aktywności inwestycyjnej tutejszych firm deweloperskich. Co ważne</w:t>
      </w:r>
      <w:r w:rsidR="004D5385">
        <w:rPr>
          <w:rFonts w:ascii="Poppins" w:hAnsi="Poppins" w:cs="Poppins"/>
          <w:i/>
          <w:iCs/>
        </w:rPr>
        <w:t>,</w:t>
      </w:r>
      <w:r w:rsidRPr="004D5385">
        <w:rPr>
          <w:rFonts w:ascii="Poppins" w:hAnsi="Poppins" w:cs="Poppins"/>
          <w:i/>
          <w:iCs/>
        </w:rPr>
        <w:t xml:space="preserve"> uzupełnili swoją ofertę </w:t>
      </w:r>
      <w:r w:rsidRPr="004D5385">
        <w:rPr>
          <w:rFonts w:ascii="Poppins" w:hAnsi="Poppins" w:cs="Poppins"/>
          <w:i/>
          <w:iCs/>
        </w:rPr>
        <w:lastRenderedPageBreak/>
        <w:t>mieszkaniami ze średnią ceną niespełna 10,2 tys. zł za m kw., a więc można powiedzieć, że „na kieszeń” klientów kredytowych</w:t>
      </w:r>
      <w:r>
        <w:rPr>
          <w:rFonts w:ascii="Poppins" w:hAnsi="Poppins" w:cs="Poppins"/>
        </w:rPr>
        <w:t xml:space="preserve"> – </w:t>
      </w:r>
      <w:r w:rsidR="00010FEA">
        <w:rPr>
          <w:rFonts w:ascii="Poppins" w:hAnsi="Poppins" w:cs="Poppins"/>
        </w:rPr>
        <w:t>zauważa</w:t>
      </w:r>
      <w:r>
        <w:rPr>
          <w:rFonts w:ascii="Poppins" w:hAnsi="Poppins" w:cs="Poppins"/>
        </w:rPr>
        <w:t xml:space="preserve"> Marek Wielgo. </w:t>
      </w:r>
    </w:p>
    <w:p w14:paraId="234C7EE4" w14:textId="434CA7CF" w:rsidR="00C940D0" w:rsidRDefault="00D134F0" w:rsidP="004D5385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Należy przypomnieć</w:t>
      </w:r>
      <w:r w:rsidR="00970819">
        <w:rPr>
          <w:rFonts w:ascii="Poppins" w:hAnsi="Poppins" w:cs="Poppins"/>
        </w:rPr>
        <w:t xml:space="preserve">, że „Bezpieczny Kredyt 2%” praktycznie </w:t>
      </w:r>
      <w:r>
        <w:rPr>
          <w:rFonts w:ascii="Poppins" w:hAnsi="Poppins" w:cs="Poppins"/>
        </w:rPr>
        <w:t>„wyczyścił”</w:t>
      </w:r>
      <w:r w:rsidR="00970819">
        <w:rPr>
          <w:rFonts w:ascii="Poppins" w:hAnsi="Poppins" w:cs="Poppins"/>
        </w:rPr>
        <w:t xml:space="preserve"> ofertę deweloperów z najtańszych mieszkań. </w:t>
      </w:r>
      <w:r w:rsidR="00010FEA">
        <w:rPr>
          <w:rFonts w:ascii="Poppins" w:hAnsi="Poppins" w:cs="Poppins"/>
        </w:rPr>
        <w:t>Z tego też powodu</w:t>
      </w:r>
      <w:r>
        <w:rPr>
          <w:rFonts w:ascii="Poppins" w:hAnsi="Poppins" w:cs="Poppins"/>
        </w:rPr>
        <w:t>,</w:t>
      </w:r>
      <w:r w:rsidR="00010FEA">
        <w:rPr>
          <w:rFonts w:ascii="Poppins" w:hAnsi="Poppins" w:cs="Poppins"/>
        </w:rPr>
        <w:t xml:space="preserve"> we wrześniu i październiku</w:t>
      </w:r>
      <w:r>
        <w:rPr>
          <w:rFonts w:ascii="Poppins" w:hAnsi="Poppins" w:cs="Poppins"/>
        </w:rPr>
        <w:t>,</w:t>
      </w:r>
      <w:r w:rsidR="00010FEA">
        <w:rPr>
          <w:rFonts w:ascii="Poppins" w:hAnsi="Poppins" w:cs="Poppins"/>
        </w:rPr>
        <w:t xml:space="preserve"> spadła dość gwałtownie sprzedaż nowych mieszkań w tym mieście.</w:t>
      </w:r>
      <w:r w:rsidR="00970819">
        <w:rPr>
          <w:rFonts w:ascii="Poppins" w:hAnsi="Poppins" w:cs="Poppins"/>
        </w:rPr>
        <w:t xml:space="preserve"> </w:t>
      </w:r>
    </w:p>
    <w:p w14:paraId="784535C6" w14:textId="30E6EE6B" w:rsidR="00064DEF" w:rsidRDefault="00010FEA" w:rsidP="004D5385">
      <w:pPr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t xml:space="preserve">- </w:t>
      </w:r>
      <w:r w:rsidR="0012484B" w:rsidRPr="004D5385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Od dawna </w:t>
      </w:r>
      <w:r w:rsidR="00064DEF" w:rsidRPr="004D5385">
        <w:rPr>
          <w:rFonts w:ascii="Poppins" w:eastAsia="Times New Roman" w:hAnsi="Poppins" w:cs="Poppins"/>
          <w:i/>
          <w:iCs/>
          <w:color w:val="23232D"/>
          <w:lang w:eastAsia="pl-PL"/>
        </w:rPr>
        <w:t>zwr</w:t>
      </w:r>
      <w:r w:rsidR="0012484B" w:rsidRPr="004D5385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acamy </w:t>
      </w:r>
      <w:r w:rsidR="00064DEF" w:rsidRPr="004D5385">
        <w:rPr>
          <w:rFonts w:ascii="Poppins" w:eastAsia="Times New Roman" w:hAnsi="Poppins" w:cs="Poppins"/>
          <w:i/>
          <w:iCs/>
          <w:color w:val="23232D"/>
          <w:lang w:eastAsia="pl-PL"/>
        </w:rPr>
        <w:t>uwagę</w:t>
      </w:r>
      <w:r w:rsidR="0012484B" w:rsidRPr="004D5385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 w naszych raportach</w:t>
      </w:r>
      <w:r w:rsidR="00064DEF" w:rsidRPr="004D5385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, że </w:t>
      </w:r>
      <w:r w:rsidRPr="004D5385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aby </w:t>
      </w:r>
      <w:r w:rsidR="002A5C18" w:rsidRPr="004D5385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średnia cena metra kwadratowego mieszkań na rynku pierwotnym </w:t>
      </w:r>
      <w:r w:rsidR="00064DEF" w:rsidRPr="004D5385">
        <w:rPr>
          <w:rFonts w:ascii="Poppins" w:hAnsi="Poppins" w:cs="Poppins"/>
          <w:i/>
          <w:iCs/>
        </w:rPr>
        <w:t>przestała rosnąć, deweloperzy musieliby radykalnie zwiększyć podaż mieszkań</w:t>
      </w:r>
      <w:r w:rsidR="00532B40" w:rsidRPr="004D5385">
        <w:rPr>
          <w:rFonts w:ascii="Poppins" w:hAnsi="Poppins" w:cs="Poppins"/>
          <w:i/>
          <w:iCs/>
        </w:rPr>
        <w:t>, zwłaszcza</w:t>
      </w:r>
      <w:r w:rsidR="00064DEF" w:rsidRPr="004D5385">
        <w:rPr>
          <w:rFonts w:ascii="Poppins" w:hAnsi="Poppins" w:cs="Poppins"/>
          <w:i/>
          <w:iCs/>
        </w:rPr>
        <w:t xml:space="preserve"> w segmencie popularnym, czyli budowanych z myślą o klientach kredytowych</w:t>
      </w:r>
      <w:r>
        <w:rPr>
          <w:rFonts w:ascii="Poppins" w:hAnsi="Poppins" w:cs="Poppins"/>
        </w:rPr>
        <w:t xml:space="preserve"> </w:t>
      </w:r>
      <w:r w:rsidR="00532B40">
        <w:rPr>
          <w:rFonts w:ascii="Poppins" w:hAnsi="Poppins" w:cs="Poppins"/>
        </w:rPr>
        <w:t xml:space="preserve">– </w:t>
      </w:r>
      <w:r>
        <w:rPr>
          <w:rFonts w:ascii="Poppins" w:hAnsi="Poppins" w:cs="Poppins"/>
        </w:rPr>
        <w:t xml:space="preserve">komentuje </w:t>
      </w:r>
      <w:r w:rsidR="00532B40" w:rsidRPr="004647DF">
        <w:rPr>
          <w:rFonts w:ascii="Poppins" w:eastAsia="Times New Roman" w:hAnsi="Poppins" w:cs="Poppins"/>
          <w:color w:val="23232D"/>
          <w:lang w:eastAsia="pl-PL"/>
        </w:rPr>
        <w:t>Marek Wielgo.</w:t>
      </w:r>
    </w:p>
    <w:p w14:paraId="0C29F598" w14:textId="6ECE7907" w:rsidR="00A924CC" w:rsidRDefault="00010FEA" w:rsidP="004D53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t xml:space="preserve">Może się okazać, że stolica Dolnego Śląska dołączy do </w:t>
      </w:r>
      <w:r w:rsidR="0050728D">
        <w:rPr>
          <w:rFonts w:ascii="Poppins" w:eastAsia="Times New Roman" w:hAnsi="Poppins" w:cs="Poppins"/>
          <w:color w:val="23232D"/>
          <w:lang w:eastAsia="pl-PL"/>
        </w:rPr>
        <w:t>Ł</w:t>
      </w:r>
      <w:r>
        <w:rPr>
          <w:rFonts w:ascii="Poppins" w:eastAsia="Times New Roman" w:hAnsi="Poppins" w:cs="Poppins"/>
          <w:color w:val="23232D"/>
          <w:lang w:eastAsia="pl-PL"/>
        </w:rPr>
        <w:t>odzi</w:t>
      </w:r>
      <w:r w:rsidR="0050728D">
        <w:rPr>
          <w:rFonts w:ascii="Poppins" w:eastAsia="Times New Roman" w:hAnsi="Poppins" w:cs="Poppins"/>
          <w:color w:val="23232D"/>
          <w:lang w:eastAsia="pl-PL"/>
        </w:rPr>
        <w:t>, która jest w tym roku fenomenem. Co prawda</w:t>
      </w:r>
      <w:r w:rsidR="004D5385">
        <w:rPr>
          <w:rFonts w:ascii="Poppins" w:eastAsia="Times New Roman" w:hAnsi="Poppins" w:cs="Poppins"/>
          <w:color w:val="23232D"/>
          <w:lang w:eastAsia="pl-PL"/>
        </w:rPr>
        <w:t>,</w:t>
      </w:r>
      <w:r w:rsidR="0050728D">
        <w:rPr>
          <w:rFonts w:ascii="Poppins" w:eastAsia="Times New Roman" w:hAnsi="Poppins" w:cs="Poppins"/>
          <w:color w:val="23232D"/>
          <w:lang w:eastAsia="pl-PL"/>
        </w:rPr>
        <w:t xml:space="preserve"> średnia cena metra kwadratowego mieszkań dostępnych w ofercie firm deweloperskich </w:t>
      </w:r>
      <w:r>
        <w:rPr>
          <w:rFonts w:ascii="Poppins" w:eastAsia="Times New Roman" w:hAnsi="Poppins" w:cs="Poppins"/>
          <w:color w:val="23232D"/>
          <w:lang w:eastAsia="pl-PL"/>
        </w:rPr>
        <w:t xml:space="preserve">wzrosła w listopadzie o 1%. </w:t>
      </w:r>
      <w:r w:rsidR="0050728D">
        <w:rPr>
          <w:rFonts w:ascii="Poppins" w:eastAsia="Times New Roman" w:hAnsi="Poppins" w:cs="Poppins"/>
          <w:color w:val="23232D"/>
          <w:lang w:eastAsia="pl-PL"/>
        </w:rPr>
        <w:t>Niemniej</w:t>
      </w:r>
      <w:r w:rsidR="004D5385">
        <w:rPr>
          <w:rFonts w:ascii="Poppins" w:eastAsia="Times New Roman" w:hAnsi="Poppins" w:cs="Poppins"/>
          <w:color w:val="23232D"/>
          <w:lang w:eastAsia="pl-PL"/>
        </w:rPr>
        <w:t xml:space="preserve"> jednak</w:t>
      </w:r>
      <w:r w:rsidR="0050728D">
        <w:rPr>
          <w:rFonts w:ascii="Poppins" w:eastAsia="Times New Roman" w:hAnsi="Poppins" w:cs="Poppins"/>
          <w:color w:val="23232D"/>
          <w:lang w:eastAsia="pl-PL"/>
        </w:rPr>
        <w:t xml:space="preserve"> </w:t>
      </w:r>
      <w:r>
        <w:rPr>
          <w:rFonts w:ascii="Poppins" w:eastAsia="Times New Roman" w:hAnsi="Poppins" w:cs="Poppins"/>
          <w:color w:val="23232D"/>
          <w:lang w:eastAsia="pl-PL"/>
        </w:rPr>
        <w:t xml:space="preserve">Łódź </w:t>
      </w:r>
      <w:r w:rsidR="0050728D">
        <w:rPr>
          <w:rFonts w:ascii="Poppins" w:eastAsia="Times New Roman" w:hAnsi="Poppins" w:cs="Poppins"/>
          <w:color w:val="23232D"/>
          <w:lang w:eastAsia="pl-PL"/>
        </w:rPr>
        <w:t xml:space="preserve">wciąż jest </w:t>
      </w:r>
      <w:r w:rsidR="00A81BE6">
        <w:rPr>
          <w:rFonts w:ascii="Poppins" w:eastAsia="Times New Roman" w:hAnsi="Poppins" w:cs="Poppins"/>
          <w:color w:val="23232D"/>
          <w:lang w:eastAsia="pl-PL"/>
        </w:rPr>
        <w:t xml:space="preserve">oazą stabilności wśród największych metropolii. </w:t>
      </w:r>
      <w:r w:rsidR="00AF6C7F">
        <w:rPr>
          <w:rFonts w:ascii="Poppins" w:eastAsia="Times New Roman" w:hAnsi="Poppins" w:cs="Poppins"/>
          <w:color w:val="23232D"/>
          <w:lang w:eastAsia="pl-PL"/>
        </w:rPr>
        <w:t xml:space="preserve">I to zarówno pod względem wielkości oferty, jak </w:t>
      </w:r>
      <w:r w:rsidR="004627A8">
        <w:rPr>
          <w:rFonts w:ascii="Poppins" w:eastAsia="Times New Roman" w:hAnsi="Poppins" w:cs="Poppins"/>
          <w:color w:val="23232D"/>
          <w:lang w:eastAsia="pl-PL"/>
        </w:rPr>
        <w:t xml:space="preserve">i </w:t>
      </w:r>
      <w:r w:rsidR="00AF6C7F">
        <w:rPr>
          <w:rFonts w:ascii="Poppins" w:eastAsia="Times New Roman" w:hAnsi="Poppins" w:cs="Poppins"/>
          <w:color w:val="23232D"/>
          <w:lang w:eastAsia="pl-PL"/>
        </w:rPr>
        <w:t>ś</w:t>
      </w:r>
      <w:r w:rsidR="00A81BE6">
        <w:rPr>
          <w:rFonts w:ascii="Poppins" w:eastAsia="Times New Roman" w:hAnsi="Poppins" w:cs="Poppins"/>
          <w:color w:val="23232D"/>
          <w:lang w:eastAsia="pl-PL"/>
        </w:rPr>
        <w:t>redni</w:t>
      </w:r>
      <w:r w:rsidR="00AF6C7F">
        <w:rPr>
          <w:rFonts w:ascii="Poppins" w:eastAsia="Times New Roman" w:hAnsi="Poppins" w:cs="Poppins"/>
          <w:color w:val="23232D"/>
          <w:lang w:eastAsia="pl-PL"/>
        </w:rPr>
        <w:t>ej</w:t>
      </w:r>
      <w:r w:rsidR="00A81BE6">
        <w:rPr>
          <w:rFonts w:ascii="Poppins" w:eastAsia="Times New Roman" w:hAnsi="Poppins" w:cs="Poppins"/>
          <w:color w:val="23232D"/>
          <w:lang w:eastAsia="pl-PL"/>
        </w:rPr>
        <w:t xml:space="preserve"> cen</w:t>
      </w:r>
      <w:r w:rsidR="00AF6C7F">
        <w:rPr>
          <w:rFonts w:ascii="Poppins" w:eastAsia="Times New Roman" w:hAnsi="Poppins" w:cs="Poppins"/>
          <w:color w:val="23232D"/>
          <w:lang w:eastAsia="pl-PL"/>
        </w:rPr>
        <w:t>y</w:t>
      </w:r>
      <w:r w:rsidR="00A81BE6">
        <w:rPr>
          <w:rFonts w:ascii="Poppins" w:eastAsia="Times New Roman" w:hAnsi="Poppins" w:cs="Poppins"/>
          <w:color w:val="23232D"/>
          <w:lang w:eastAsia="pl-PL"/>
        </w:rPr>
        <w:t xml:space="preserve"> mieszkań</w:t>
      </w:r>
      <w:r w:rsidR="0050728D">
        <w:rPr>
          <w:rFonts w:ascii="Poppins" w:eastAsia="Times New Roman" w:hAnsi="Poppins" w:cs="Poppins"/>
          <w:color w:val="23232D"/>
          <w:lang w:eastAsia="pl-PL"/>
        </w:rPr>
        <w:t xml:space="preserve">, która wzrosła </w:t>
      </w:r>
      <w:r w:rsidR="00A924CC">
        <w:rPr>
          <w:rFonts w:ascii="Poppins" w:eastAsia="Times New Roman" w:hAnsi="Poppins" w:cs="Poppins"/>
          <w:color w:val="23232D"/>
          <w:lang w:eastAsia="pl-PL"/>
        </w:rPr>
        <w:t>w tym roku najmniej</w:t>
      </w:r>
      <w:r w:rsidR="00E80F52">
        <w:rPr>
          <w:rFonts w:ascii="Poppins" w:eastAsia="Times New Roman" w:hAnsi="Poppins" w:cs="Poppins"/>
          <w:color w:val="23232D"/>
          <w:lang w:eastAsia="pl-PL"/>
        </w:rPr>
        <w:t xml:space="preserve">, bo „tylko” o </w:t>
      </w:r>
      <w:r>
        <w:rPr>
          <w:rFonts w:ascii="Poppins" w:eastAsia="Times New Roman" w:hAnsi="Poppins" w:cs="Poppins"/>
          <w:color w:val="23232D"/>
          <w:lang w:eastAsia="pl-PL"/>
        </w:rPr>
        <w:t>8</w:t>
      </w:r>
      <w:r w:rsidR="00E80F52">
        <w:rPr>
          <w:rFonts w:ascii="Poppins" w:eastAsia="Times New Roman" w:hAnsi="Poppins" w:cs="Poppins"/>
          <w:color w:val="23232D"/>
          <w:lang w:eastAsia="pl-PL"/>
        </w:rPr>
        <w:t xml:space="preserve">%. </w:t>
      </w:r>
      <w:r w:rsidR="0050728D">
        <w:rPr>
          <w:rFonts w:ascii="Poppins" w:eastAsia="Times New Roman" w:hAnsi="Poppins" w:cs="Poppins"/>
          <w:color w:val="23232D"/>
          <w:lang w:eastAsia="pl-PL"/>
        </w:rPr>
        <w:t>W pozostałych metropoliach mieliśmy do czynienia z dwucyfrowym</w:t>
      </w:r>
      <w:r w:rsidR="002543AF">
        <w:rPr>
          <w:rFonts w:ascii="Poppins" w:eastAsia="Times New Roman" w:hAnsi="Poppins" w:cs="Poppins"/>
          <w:color w:val="23232D"/>
          <w:lang w:eastAsia="pl-PL"/>
        </w:rPr>
        <w:t xml:space="preserve">i podwyżkami </w:t>
      </w:r>
      <w:r w:rsidR="0050728D">
        <w:rPr>
          <w:rFonts w:ascii="Poppins" w:eastAsia="Times New Roman" w:hAnsi="Poppins" w:cs="Poppins"/>
          <w:color w:val="23232D"/>
          <w:lang w:eastAsia="pl-PL"/>
        </w:rPr>
        <w:t xml:space="preserve">średniej ceny metra </w:t>
      </w:r>
      <w:r w:rsidR="0050728D" w:rsidRPr="008C004E">
        <w:rPr>
          <w:rFonts w:ascii="Poppins" w:eastAsia="Times New Roman" w:hAnsi="Poppins" w:cs="Poppins"/>
          <w:color w:val="23232D"/>
          <w:lang w:eastAsia="pl-PL"/>
        </w:rPr>
        <w:t>kwadratowego</w:t>
      </w:r>
      <w:r w:rsidR="0050728D">
        <w:rPr>
          <w:rFonts w:ascii="Poppins" w:eastAsia="Times New Roman" w:hAnsi="Poppins" w:cs="Poppins"/>
          <w:color w:val="23232D"/>
          <w:lang w:eastAsia="pl-PL"/>
        </w:rPr>
        <w:t>.</w:t>
      </w:r>
    </w:p>
    <w:p w14:paraId="3CD5ED06" w14:textId="39349821" w:rsidR="00010FEA" w:rsidRDefault="00D134F0" w:rsidP="007461EC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color w:val="23232D"/>
          <w:lang w:eastAsia="pl-PL"/>
        </w:rPr>
      </w:pPr>
      <w:r>
        <w:rPr>
          <w:noProof/>
        </w:rPr>
        <w:drawing>
          <wp:inline distT="0" distB="0" distL="0" distR="0" wp14:anchorId="1F04140A" wp14:editId="5CC6BD7E">
            <wp:extent cx="6638925" cy="3667125"/>
            <wp:effectExtent l="0" t="0" r="9525" b="9525"/>
            <wp:docPr id="19109849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95DAB" w14:textId="279934A5" w:rsidR="00E80F52" w:rsidRDefault="00010FEA" w:rsidP="00E80F52">
      <w:pPr>
        <w:shd w:val="clear" w:color="auto" w:fill="FFFFFF"/>
        <w:spacing w:before="100" w:beforeAutospacing="1" w:after="100" w:afterAutospacing="1" w:line="240" w:lineRule="auto"/>
        <w:rPr>
          <w:rFonts w:ascii="Poppins" w:hAnsi="Poppins" w:cs="Poppins"/>
        </w:rPr>
      </w:pPr>
      <w:r>
        <w:rPr>
          <w:rFonts w:ascii="Poppins" w:eastAsia="Times New Roman" w:hAnsi="Poppins" w:cs="Poppins"/>
          <w:color w:val="23232D"/>
          <w:lang w:eastAsia="pl-PL"/>
        </w:rPr>
        <w:t>Tegorocznymi liderami podwyżek są Kraków, Trójmiasto i Warszawa. C</w:t>
      </w:r>
      <w:r w:rsidR="0050728D">
        <w:rPr>
          <w:rFonts w:ascii="Poppins" w:eastAsia="Times New Roman" w:hAnsi="Poppins" w:cs="Poppins"/>
          <w:color w:val="23232D"/>
          <w:lang w:eastAsia="pl-PL"/>
        </w:rPr>
        <w:t xml:space="preserve">eny mieszkań nie rosły </w:t>
      </w:r>
      <w:r>
        <w:rPr>
          <w:rFonts w:ascii="Poppins" w:eastAsia="Times New Roman" w:hAnsi="Poppins" w:cs="Poppins"/>
          <w:color w:val="23232D"/>
          <w:lang w:eastAsia="pl-PL"/>
        </w:rPr>
        <w:t xml:space="preserve">tu </w:t>
      </w:r>
      <w:r w:rsidR="0050728D">
        <w:rPr>
          <w:rFonts w:ascii="Poppins" w:eastAsia="Times New Roman" w:hAnsi="Poppins" w:cs="Poppins"/>
          <w:color w:val="23232D"/>
          <w:lang w:eastAsia="pl-PL"/>
        </w:rPr>
        <w:t xml:space="preserve">tak szybko </w:t>
      </w:r>
      <w:r w:rsidR="00E80F52">
        <w:rPr>
          <w:rFonts w:ascii="Poppins" w:eastAsia="Times New Roman" w:hAnsi="Poppins" w:cs="Poppins"/>
          <w:color w:val="23232D"/>
          <w:lang w:eastAsia="pl-PL"/>
        </w:rPr>
        <w:t>o</w:t>
      </w:r>
      <w:r w:rsidR="004627A8">
        <w:rPr>
          <w:rFonts w:ascii="Poppins" w:eastAsia="Times New Roman" w:hAnsi="Poppins" w:cs="Poppins"/>
          <w:color w:val="23232D"/>
          <w:lang w:eastAsia="pl-PL"/>
        </w:rPr>
        <w:t>d</w:t>
      </w:r>
      <w:r w:rsidR="00E80F52">
        <w:rPr>
          <w:rFonts w:ascii="Poppins" w:eastAsia="Times New Roman" w:hAnsi="Poppins" w:cs="Poppins"/>
          <w:color w:val="23232D"/>
          <w:lang w:eastAsia="pl-PL"/>
        </w:rPr>
        <w:t xml:space="preserve"> </w:t>
      </w:r>
      <w:r w:rsidR="0050728D">
        <w:rPr>
          <w:rFonts w:ascii="Poppins" w:eastAsia="Times New Roman" w:hAnsi="Poppins" w:cs="Poppins"/>
          <w:color w:val="23232D"/>
          <w:lang w:eastAsia="pl-PL"/>
        </w:rPr>
        <w:t xml:space="preserve">czasu </w:t>
      </w:r>
      <w:r w:rsidR="00E80F52">
        <w:rPr>
          <w:rFonts w:ascii="Poppins" w:hAnsi="Poppins" w:cs="Poppins"/>
          <w:shd w:val="clear" w:color="auto" w:fill="FFFFFF"/>
        </w:rPr>
        <w:t xml:space="preserve">kryzysu finansowego w 2008 r. </w:t>
      </w:r>
      <w:r>
        <w:rPr>
          <w:rFonts w:ascii="Poppins" w:hAnsi="Poppins" w:cs="Poppins"/>
          <w:shd w:val="clear" w:color="auto" w:fill="FFFFFF"/>
        </w:rPr>
        <w:t xml:space="preserve">Od grudnia ubiegłego roku </w:t>
      </w:r>
      <w:r w:rsidR="00E80F52" w:rsidRPr="000F2327">
        <w:rPr>
          <w:rFonts w:ascii="Poppins" w:hAnsi="Poppins" w:cs="Poppins"/>
        </w:rPr>
        <w:t xml:space="preserve">nowe mieszkania </w:t>
      </w:r>
      <w:r w:rsidR="00E80F52">
        <w:rPr>
          <w:rFonts w:ascii="Poppins" w:hAnsi="Poppins" w:cs="Poppins"/>
        </w:rPr>
        <w:t xml:space="preserve">dostępne w ofercie </w:t>
      </w:r>
      <w:r w:rsidR="002543AF">
        <w:rPr>
          <w:rFonts w:ascii="Poppins" w:hAnsi="Poppins" w:cs="Poppins"/>
        </w:rPr>
        <w:t xml:space="preserve">krakowskich </w:t>
      </w:r>
      <w:r>
        <w:rPr>
          <w:rFonts w:ascii="Poppins" w:hAnsi="Poppins" w:cs="Poppins"/>
        </w:rPr>
        <w:t xml:space="preserve">i trójmiejskich </w:t>
      </w:r>
      <w:r w:rsidR="00E80F52">
        <w:rPr>
          <w:rFonts w:ascii="Poppins" w:hAnsi="Poppins" w:cs="Poppins"/>
        </w:rPr>
        <w:t xml:space="preserve">deweloperów </w:t>
      </w:r>
      <w:r w:rsidR="00E80F52" w:rsidRPr="000F2327">
        <w:rPr>
          <w:rFonts w:ascii="Poppins" w:hAnsi="Poppins" w:cs="Poppins"/>
        </w:rPr>
        <w:t>podrożały średnio na metrze aż o 2</w:t>
      </w:r>
      <w:r>
        <w:rPr>
          <w:rFonts w:ascii="Poppins" w:hAnsi="Poppins" w:cs="Poppins"/>
        </w:rPr>
        <w:t>5</w:t>
      </w:r>
      <w:r w:rsidR="00E80F52" w:rsidRPr="000F2327">
        <w:rPr>
          <w:rFonts w:ascii="Poppins" w:hAnsi="Poppins" w:cs="Poppins"/>
        </w:rPr>
        <w:t xml:space="preserve">%, </w:t>
      </w:r>
      <w:r w:rsidR="009D452D">
        <w:rPr>
          <w:rFonts w:ascii="Poppins" w:hAnsi="Poppins" w:cs="Poppins"/>
        </w:rPr>
        <w:t xml:space="preserve">a w Warszawie – o </w:t>
      </w:r>
      <w:r>
        <w:rPr>
          <w:rFonts w:ascii="Poppins" w:hAnsi="Poppins" w:cs="Poppins"/>
        </w:rPr>
        <w:t>20</w:t>
      </w:r>
      <w:r w:rsidR="009D452D">
        <w:rPr>
          <w:rFonts w:ascii="Poppins" w:hAnsi="Poppins" w:cs="Poppins"/>
        </w:rPr>
        <w:t>%</w:t>
      </w:r>
      <w:r w:rsidR="00E80F52" w:rsidRPr="000F2327">
        <w:rPr>
          <w:rFonts w:ascii="Poppins" w:hAnsi="Poppins" w:cs="Poppins"/>
        </w:rPr>
        <w:t>.</w:t>
      </w:r>
      <w:r w:rsidR="00E80F52">
        <w:rPr>
          <w:rFonts w:ascii="Poppins" w:hAnsi="Poppins" w:cs="Poppins"/>
        </w:rPr>
        <w:t xml:space="preserve"> </w:t>
      </w:r>
    </w:p>
    <w:p w14:paraId="04E52F39" w14:textId="5E67F9CC" w:rsidR="00F32849" w:rsidRDefault="00DE56B9" w:rsidP="001E46F6">
      <w:pPr>
        <w:rPr>
          <w:rStyle w:val="Pogrubienie"/>
          <w:rFonts w:ascii="Poppins" w:hAnsi="Poppins" w:cs="Poppins"/>
          <w:b w:val="0"/>
          <w:bCs w:val="0"/>
          <w:shd w:val="clear" w:color="auto" w:fill="FFFFFF"/>
        </w:rPr>
      </w:pPr>
      <w:r>
        <w:rPr>
          <w:rFonts w:ascii="Poppins" w:hAnsi="Poppins" w:cs="Poppins"/>
        </w:rPr>
        <w:lastRenderedPageBreak/>
        <w:t>Z</w:t>
      </w:r>
      <w:r w:rsidR="00656A92" w:rsidRPr="00DE56B9">
        <w:rPr>
          <w:rFonts w:ascii="Poppins" w:hAnsi="Poppins" w:cs="Poppins"/>
        </w:rPr>
        <w:t xml:space="preserve"> punktu widzenia kupujących </w:t>
      </w:r>
      <w:r w:rsidR="000311F2">
        <w:rPr>
          <w:rFonts w:ascii="Poppins" w:hAnsi="Poppins" w:cs="Poppins"/>
        </w:rPr>
        <w:t xml:space="preserve">rosnące ceny </w:t>
      </w:r>
      <w:r w:rsidR="00656A92" w:rsidRPr="00DE56B9">
        <w:rPr>
          <w:rFonts w:ascii="Poppins" w:hAnsi="Poppins" w:cs="Poppins"/>
        </w:rPr>
        <w:t>w ofercie deweloper</w:t>
      </w:r>
      <w:r w:rsidR="000311F2">
        <w:rPr>
          <w:rFonts w:ascii="Poppins" w:hAnsi="Poppins" w:cs="Poppins"/>
        </w:rPr>
        <w:t>ów</w:t>
      </w:r>
      <w:r w:rsidR="000311F2" w:rsidRPr="000311F2">
        <w:rPr>
          <w:rFonts w:ascii="Poppins" w:hAnsi="Poppins" w:cs="Poppins"/>
        </w:rPr>
        <w:t xml:space="preserve"> </w:t>
      </w:r>
      <w:r w:rsidR="000311F2" w:rsidRPr="00DE56B9">
        <w:rPr>
          <w:rFonts w:ascii="Poppins" w:hAnsi="Poppins" w:cs="Poppins"/>
        </w:rPr>
        <w:t xml:space="preserve">znacznie lepiej obrazuje </w:t>
      </w:r>
      <w:r w:rsidR="000311F2">
        <w:rPr>
          <w:rFonts w:ascii="Poppins" w:hAnsi="Poppins" w:cs="Poppins"/>
        </w:rPr>
        <w:t xml:space="preserve">ich </w:t>
      </w:r>
      <w:r w:rsidR="000311F2" w:rsidRPr="00DE56B9">
        <w:rPr>
          <w:rFonts w:ascii="Poppins" w:hAnsi="Poppins" w:cs="Poppins"/>
        </w:rPr>
        <w:t>struktura</w:t>
      </w:r>
      <w:r w:rsidR="00656A92" w:rsidRPr="00DE56B9">
        <w:rPr>
          <w:rFonts w:ascii="Poppins" w:hAnsi="Poppins" w:cs="Poppins"/>
        </w:rPr>
        <w:t>. N</w:t>
      </w:r>
      <w:r w:rsidR="00D134F0">
        <w:rPr>
          <w:rFonts w:ascii="Poppins" w:hAnsi="Poppins" w:cs="Poppins"/>
        </w:rPr>
        <w:t xml:space="preserve">a </w:t>
      </w:r>
      <w:r w:rsidR="00656A92" w:rsidRPr="00DE56B9">
        <w:rPr>
          <w:rFonts w:ascii="Poppins" w:hAnsi="Poppins" w:cs="Poppins"/>
        </w:rPr>
        <w:t>p</w:t>
      </w:r>
      <w:r w:rsidR="00D134F0">
        <w:rPr>
          <w:rFonts w:ascii="Poppins" w:hAnsi="Poppins" w:cs="Poppins"/>
        </w:rPr>
        <w:t>rzykład</w:t>
      </w:r>
      <w:r w:rsidR="00656A92" w:rsidRPr="00DE56B9">
        <w:rPr>
          <w:rFonts w:ascii="Poppins" w:hAnsi="Poppins" w:cs="Poppins"/>
        </w:rPr>
        <w:t xml:space="preserve"> w</w:t>
      </w:r>
      <w:r w:rsidR="00656A92" w:rsidRPr="00DE56B9">
        <w:rPr>
          <w:rStyle w:val="Pogrubienie"/>
          <w:rFonts w:ascii="Poppins" w:hAnsi="Poppins" w:cs="Poppins"/>
          <w:shd w:val="clear" w:color="auto" w:fill="FFFFFF"/>
        </w:rPr>
        <w:t xml:space="preserve"> </w:t>
      </w:r>
      <w:r w:rsidR="00656A92" w:rsidRPr="00DE56B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Krakowie, gdzie średnia cena metra kwadratowego w</w:t>
      </w:r>
      <w:r w:rsidR="004627A8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z</w:t>
      </w:r>
      <w:r w:rsidR="00656A92" w:rsidRPr="00DE56B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rosła najbardziej, oferta lokali z ceną poniżej 10 tys. zł skurczyła się </w:t>
      </w:r>
      <w:r w:rsidR="000311F2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w tym roku </w:t>
      </w:r>
      <w:r w:rsidR="00656A92" w:rsidRPr="00DE56B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z 21% do </w:t>
      </w:r>
      <w:r w:rsidR="0098105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2</w:t>
      </w:r>
      <w:r w:rsidR="00656A92" w:rsidRPr="00DE56B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%.</w:t>
      </w:r>
      <w:r w:rsidR="00720322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 </w:t>
      </w:r>
      <w:r w:rsidR="00656A92" w:rsidRPr="00DE56B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Za to odsetek mieszkań z ceną powyżej 1</w:t>
      </w:r>
      <w:r w:rsidR="0098105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2</w:t>
      </w:r>
      <w:r w:rsidR="00656A92" w:rsidRPr="00DE56B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 tys. zł za metr zwiększył się </w:t>
      </w:r>
      <w:r w:rsidR="0098105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od grudnia ubiegłego roku </w:t>
      </w:r>
      <w:r w:rsidR="00656A92" w:rsidRPr="00DE56B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z </w:t>
      </w:r>
      <w:r w:rsidR="0098105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50</w:t>
      </w:r>
      <w:r w:rsidR="00656A92" w:rsidRPr="00DE56B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% do </w:t>
      </w:r>
      <w:r w:rsidR="0098105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88</w:t>
      </w:r>
      <w:r w:rsidR="001E46F6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%</w:t>
      </w:r>
      <w:r w:rsidR="00656A92" w:rsidRPr="00DE56B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.</w:t>
      </w:r>
    </w:p>
    <w:p w14:paraId="3947286C" w14:textId="2BA5B408" w:rsidR="00010FEA" w:rsidRDefault="00D134F0" w:rsidP="001E46F6">
      <w:pPr>
        <w:rPr>
          <w:rStyle w:val="Pogrubienie"/>
          <w:rFonts w:ascii="Poppins" w:hAnsi="Poppins" w:cs="Poppins"/>
          <w:b w:val="0"/>
          <w:bCs w:val="0"/>
          <w:shd w:val="clear" w:color="auto" w:fill="FFFFFF"/>
        </w:rPr>
      </w:pPr>
      <w:r>
        <w:rPr>
          <w:noProof/>
        </w:rPr>
        <w:drawing>
          <wp:inline distT="0" distB="0" distL="0" distR="0" wp14:anchorId="2B584512" wp14:editId="150E32FC">
            <wp:extent cx="6648450" cy="4562475"/>
            <wp:effectExtent l="0" t="0" r="0" b="9525"/>
            <wp:docPr id="88245456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4F180" w14:textId="66E1BBA0" w:rsidR="00010FEA" w:rsidRDefault="00981059" w:rsidP="001E46F6">
      <w:pPr>
        <w:rPr>
          <w:rStyle w:val="Pogrubienie"/>
          <w:rFonts w:ascii="Poppins" w:hAnsi="Poppins" w:cs="Poppins"/>
          <w:b w:val="0"/>
          <w:bCs w:val="0"/>
          <w:shd w:val="clear" w:color="auto" w:fill="FFFFFF"/>
        </w:rPr>
      </w:pPr>
      <w:r>
        <w:rPr>
          <w:rFonts w:ascii="Poppins" w:hAnsi="Poppins" w:cs="Poppins"/>
        </w:rPr>
        <w:t>W listopadzie s</w:t>
      </w:r>
      <w:r w:rsidRPr="00DE56B9">
        <w:rPr>
          <w:rFonts w:ascii="Poppins" w:hAnsi="Poppins" w:cs="Poppins"/>
        </w:rPr>
        <w:t>pektakularne zmiany w strukturze cenowej odnotowa</w:t>
      </w:r>
      <w:r w:rsidR="00D134F0">
        <w:rPr>
          <w:rFonts w:ascii="Poppins" w:hAnsi="Poppins" w:cs="Poppins"/>
        </w:rPr>
        <w:t>no</w:t>
      </w:r>
      <w:r w:rsidRPr="00DE56B9">
        <w:rPr>
          <w:rFonts w:ascii="Poppins" w:hAnsi="Poppins" w:cs="Poppins"/>
        </w:rPr>
        <w:t xml:space="preserve"> </w:t>
      </w:r>
      <w:r>
        <w:rPr>
          <w:rFonts w:ascii="Poppins" w:hAnsi="Poppins" w:cs="Poppins"/>
        </w:rPr>
        <w:t xml:space="preserve">w Łodzi i </w:t>
      </w:r>
      <w:r w:rsidR="00D134F0">
        <w:rPr>
          <w:rFonts w:ascii="Poppins" w:hAnsi="Poppins" w:cs="Poppins"/>
        </w:rPr>
        <w:t>Górnośląsko-Zagłębiowskiej Metropolii</w:t>
      </w:r>
      <w:r>
        <w:rPr>
          <w:rFonts w:ascii="Poppins" w:hAnsi="Poppins" w:cs="Poppins"/>
        </w:rPr>
        <w:t>. W tej pierwszej metropolii j</w:t>
      </w:r>
      <w:r>
        <w:rPr>
          <w:rFonts w:ascii="Poppins" w:eastAsia="Times New Roman" w:hAnsi="Poppins" w:cs="Poppins"/>
          <w:color w:val="23232D"/>
          <w:lang w:eastAsia="pl-PL"/>
        </w:rPr>
        <w:t xml:space="preserve">eszcze miesiąc wcześniej </w:t>
      </w:r>
      <w:r w:rsidR="003434DA">
        <w:rPr>
          <w:rFonts w:ascii="Poppins" w:eastAsia="Times New Roman" w:hAnsi="Poppins" w:cs="Poppins"/>
          <w:color w:val="23232D"/>
          <w:lang w:eastAsia="pl-PL"/>
        </w:rPr>
        <w:t>39</w:t>
      </w:r>
      <w:r>
        <w:rPr>
          <w:rFonts w:ascii="Poppins" w:eastAsia="Times New Roman" w:hAnsi="Poppins" w:cs="Poppins"/>
          <w:color w:val="23232D"/>
          <w:lang w:eastAsia="pl-PL"/>
        </w:rPr>
        <w:t xml:space="preserve">% mieszkań w </w:t>
      </w:r>
      <w:r w:rsidRPr="00DE56B9">
        <w:rPr>
          <w:rFonts w:ascii="Poppins" w:hAnsi="Poppins" w:cs="Poppins"/>
        </w:rPr>
        <w:t>ofer</w:t>
      </w:r>
      <w:r>
        <w:rPr>
          <w:rFonts w:ascii="Poppins" w:hAnsi="Poppins" w:cs="Poppins"/>
        </w:rPr>
        <w:t xml:space="preserve">cie </w:t>
      </w:r>
      <w:r w:rsidRPr="00DE56B9">
        <w:rPr>
          <w:rFonts w:ascii="Poppins" w:hAnsi="Poppins" w:cs="Poppins"/>
        </w:rPr>
        <w:t>deweloperów</w:t>
      </w:r>
      <w:r>
        <w:rPr>
          <w:rFonts w:ascii="Poppins" w:hAnsi="Poppins" w:cs="Poppins"/>
        </w:rPr>
        <w:t xml:space="preserve"> miało cenę poniżej 9 tys. zł za m kw. Obecnie udział takich lokali wynosi </w:t>
      </w:r>
      <w:r w:rsidR="003434DA">
        <w:rPr>
          <w:rFonts w:ascii="Poppins" w:hAnsi="Poppins" w:cs="Poppins"/>
        </w:rPr>
        <w:t>34</w:t>
      </w:r>
      <w:r>
        <w:rPr>
          <w:rFonts w:ascii="Poppins" w:hAnsi="Poppins" w:cs="Poppins"/>
        </w:rPr>
        <w:t xml:space="preserve">%. Natomiast </w:t>
      </w:r>
      <w:r w:rsidR="003434DA">
        <w:rPr>
          <w:rFonts w:ascii="Poppins" w:hAnsi="Poppins" w:cs="Poppins"/>
        </w:rPr>
        <w:t xml:space="preserve">najbardziej wzrósł – </w:t>
      </w:r>
      <w:r>
        <w:rPr>
          <w:rFonts w:ascii="Poppins" w:hAnsi="Poppins" w:cs="Poppins"/>
        </w:rPr>
        <w:t xml:space="preserve">z </w:t>
      </w:r>
      <w:r w:rsidR="003434DA">
        <w:rPr>
          <w:rFonts w:ascii="Poppins" w:hAnsi="Poppins" w:cs="Poppins"/>
        </w:rPr>
        <w:t>54</w:t>
      </w:r>
      <w:r>
        <w:rPr>
          <w:rFonts w:ascii="Poppins" w:hAnsi="Poppins" w:cs="Poppins"/>
        </w:rPr>
        <w:t xml:space="preserve">% do </w:t>
      </w:r>
      <w:r w:rsidR="003434DA">
        <w:rPr>
          <w:rFonts w:ascii="Poppins" w:hAnsi="Poppins" w:cs="Poppins"/>
        </w:rPr>
        <w:t>58</w:t>
      </w:r>
      <w:r>
        <w:rPr>
          <w:rFonts w:ascii="Poppins" w:hAnsi="Poppins" w:cs="Poppins"/>
        </w:rPr>
        <w:t xml:space="preserve">% </w:t>
      </w:r>
      <w:r w:rsidR="003434DA">
        <w:rPr>
          <w:rFonts w:ascii="Poppins" w:hAnsi="Poppins" w:cs="Poppins"/>
        </w:rPr>
        <w:t xml:space="preserve">- </w:t>
      </w:r>
      <w:r>
        <w:rPr>
          <w:rFonts w:ascii="Poppins" w:hAnsi="Poppins" w:cs="Poppins"/>
        </w:rPr>
        <w:t>odsetek takich</w:t>
      </w:r>
      <w:r w:rsidR="003434DA">
        <w:rPr>
          <w:rFonts w:ascii="Poppins" w:hAnsi="Poppins" w:cs="Poppins"/>
        </w:rPr>
        <w:t xml:space="preserve"> z ceną w przedziale 9-12 </w:t>
      </w:r>
      <w:r>
        <w:rPr>
          <w:rFonts w:ascii="Poppins" w:hAnsi="Poppins" w:cs="Poppins"/>
        </w:rPr>
        <w:t>tys. zł za metr.</w:t>
      </w:r>
    </w:p>
    <w:p w14:paraId="5A2F4178" w14:textId="33072B08" w:rsidR="00720322" w:rsidRDefault="00720322" w:rsidP="001E46F6">
      <w:pPr>
        <w:rPr>
          <w:rFonts w:ascii="Poppins" w:hAnsi="Poppins" w:cs="Poppins"/>
          <w:color w:val="23232D"/>
        </w:rPr>
      </w:pPr>
      <w:bookmarkStart w:id="0" w:name="_Hlk147749811"/>
    </w:p>
    <w:bookmarkEnd w:id="0"/>
    <w:p w14:paraId="327B4C20" w14:textId="47CB8255" w:rsidR="000311F2" w:rsidRPr="00F27DDC" w:rsidRDefault="000311F2" w:rsidP="000311F2">
      <w:pPr>
        <w:jc w:val="center"/>
        <w:rPr>
          <w:rFonts w:ascii="Poppins" w:hAnsi="Poppins" w:cs="Poppins"/>
          <w:color w:val="23232D"/>
        </w:rPr>
      </w:pPr>
    </w:p>
    <w:sectPr w:rsidR="000311F2" w:rsidRPr="00F27DDC" w:rsidSect="00A547BE">
      <w:headerReference w:type="default" r:id="rId12"/>
      <w:pgSz w:w="11906" w:h="16838"/>
      <w:pgMar w:top="720" w:right="720" w:bottom="720" w:left="720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C0CAF" w14:textId="77777777" w:rsidR="00CD2F02" w:rsidRDefault="00CD2F02" w:rsidP="00E533BD">
      <w:pPr>
        <w:spacing w:after="0" w:line="240" w:lineRule="auto"/>
      </w:pPr>
      <w:r>
        <w:separator/>
      </w:r>
    </w:p>
  </w:endnote>
  <w:endnote w:type="continuationSeparator" w:id="0">
    <w:p w14:paraId="621A34D0" w14:textId="77777777" w:rsidR="00CD2F02" w:rsidRDefault="00CD2F02" w:rsidP="00E53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1B797" w14:textId="77777777" w:rsidR="00CD2F02" w:rsidRDefault="00CD2F02" w:rsidP="00E533BD">
      <w:pPr>
        <w:spacing w:after="0" w:line="240" w:lineRule="auto"/>
      </w:pPr>
      <w:r>
        <w:separator/>
      </w:r>
    </w:p>
  </w:footnote>
  <w:footnote w:type="continuationSeparator" w:id="0">
    <w:p w14:paraId="49A35B03" w14:textId="77777777" w:rsidR="00CD2F02" w:rsidRDefault="00CD2F02" w:rsidP="00E53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F483D" w14:textId="31C0457E" w:rsidR="00E533BD" w:rsidRDefault="00DA7D8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49997B" wp14:editId="064C2B69">
          <wp:simplePos x="0" y="0"/>
          <wp:positionH relativeFrom="page">
            <wp:posOffset>28575</wp:posOffset>
          </wp:positionH>
          <wp:positionV relativeFrom="paragraph">
            <wp:posOffset>-624205</wp:posOffset>
          </wp:positionV>
          <wp:extent cx="7496810" cy="1033145"/>
          <wp:effectExtent l="0" t="0" r="0" b="0"/>
          <wp:wrapThrough wrapText="bothSides">
            <wp:wrapPolygon edited="0">
              <wp:start x="1427" y="4779"/>
              <wp:lineTo x="1153" y="6771"/>
              <wp:lineTo x="878" y="9559"/>
              <wp:lineTo x="933" y="15533"/>
              <wp:lineTo x="9331" y="18321"/>
              <wp:lineTo x="19211" y="19117"/>
              <wp:lineTo x="20693" y="19117"/>
              <wp:lineTo x="20693" y="18321"/>
              <wp:lineTo x="18717" y="11948"/>
              <wp:lineTo x="18826" y="8364"/>
              <wp:lineTo x="16302" y="7567"/>
              <wp:lineTo x="1921" y="4779"/>
              <wp:lineTo x="1427" y="4779"/>
            </wp:wrapPolygon>
          </wp:wrapThrough>
          <wp:docPr id="344518657" name="Grafika 344518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a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7" r="7"/>
                  <a:stretch>
                    <a:fillRect/>
                  </a:stretch>
                </pic:blipFill>
                <pic:spPr>
                  <a:xfrm>
                    <a:off x="0" y="0"/>
                    <a:ext cx="7496810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306C">
      <w:ptab w:relativeTo="margin" w:alignment="center" w:leader="none"/>
    </w:r>
    <w:r w:rsidR="00FB7A20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32F6"/>
    <w:multiLevelType w:val="hybridMultilevel"/>
    <w:tmpl w:val="8B5E1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B6B"/>
    <w:multiLevelType w:val="hybridMultilevel"/>
    <w:tmpl w:val="50A420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247B3"/>
    <w:multiLevelType w:val="hybridMultilevel"/>
    <w:tmpl w:val="B94E57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26AD3"/>
    <w:multiLevelType w:val="hybridMultilevel"/>
    <w:tmpl w:val="E5B6F8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54D1B"/>
    <w:multiLevelType w:val="hybridMultilevel"/>
    <w:tmpl w:val="7B481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2262"/>
    <w:multiLevelType w:val="hybridMultilevel"/>
    <w:tmpl w:val="A9B64E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250DA"/>
    <w:multiLevelType w:val="hybridMultilevel"/>
    <w:tmpl w:val="F6F6F30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C628B"/>
    <w:multiLevelType w:val="hybridMultilevel"/>
    <w:tmpl w:val="56B00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959DD"/>
    <w:multiLevelType w:val="hybridMultilevel"/>
    <w:tmpl w:val="78C46C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794B54"/>
    <w:multiLevelType w:val="hybridMultilevel"/>
    <w:tmpl w:val="58BC9F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355305">
    <w:abstractNumId w:val="4"/>
  </w:num>
  <w:num w:numId="2" w16cid:durableId="555049282">
    <w:abstractNumId w:val="0"/>
  </w:num>
  <w:num w:numId="3" w16cid:durableId="1982610543">
    <w:abstractNumId w:val="2"/>
  </w:num>
  <w:num w:numId="4" w16cid:durableId="1022822128">
    <w:abstractNumId w:val="1"/>
  </w:num>
  <w:num w:numId="5" w16cid:durableId="1641381131">
    <w:abstractNumId w:val="3"/>
  </w:num>
  <w:num w:numId="6" w16cid:durableId="1967351203">
    <w:abstractNumId w:val="5"/>
  </w:num>
  <w:num w:numId="7" w16cid:durableId="1589997633">
    <w:abstractNumId w:val="6"/>
  </w:num>
  <w:num w:numId="8" w16cid:durableId="1244800905">
    <w:abstractNumId w:val="8"/>
  </w:num>
  <w:num w:numId="9" w16cid:durableId="1512571355">
    <w:abstractNumId w:val="9"/>
  </w:num>
  <w:num w:numId="10" w16cid:durableId="14422618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3BD"/>
    <w:rsid w:val="000061D9"/>
    <w:rsid w:val="00007107"/>
    <w:rsid w:val="00010FEA"/>
    <w:rsid w:val="0001321E"/>
    <w:rsid w:val="00015274"/>
    <w:rsid w:val="00016290"/>
    <w:rsid w:val="000255B0"/>
    <w:rsid w:val="000311F2"/>
    <w:rsid w:val="00044139"/>
    <w:rsid w:val="00057F54"/>
    <w:rsid w:val="00064DEF"/>
    <w:rsid w:val="00070677"/>
    <w:rsid w:val="00075310"/>
    <w:rsid w:val="00080FF6"/>
    <w:rsid w:val="000A2552"/>
    <w:rsid w:val="000A6618"/>
    <w:rsid w:val="000C2C30"/>
    <w:rsid w:val="000C43DB"/>
    <w:rsid w:val="000D7339"/>
    <w:rsid w:val="000E427E"/>
    <w:rsid w:val="000F0B92"/>
    <w:rsid w:val="000F2327"/>
    <w:rsid w:val="000F2A84"/>
    <w:rsid w:val="000F546E"/>
    <w:rsid w:val="001003CF"/>
    <w:rsid w:val="00106C6C"/>
    <w:rsid w:val="001175D2"/>
    <w:rsid w:val="0012484B"/>
    <w:rsid w:val="001520CE"/>
    <w:rsid w:val="00156998"/>
    <w:rsid w:val="00157E64"/>
    <w:rsid w:val="00160B41"/>
    <w:rsid w:val="0017068C"/>
    <w:rsid w:val="00171955"/>
    <w:rsid w:val="00176DE5"/>
    <w:rsid w:val="001817C9"/>
    <w:rsid w:val="00182A25"/>
    <w:rsid w:val="00182F7C"/>
    <w:rsid w:val="0018306C"/>
    <w:rsid w:val="00193531"/>
    <w:rsid w:val="00194693"/>
    <w:rsid w:val="001D7997"/>
    <w:rsid w:val="001E19C9"/>
    <w:rsid w:val="001E46F6"/>
    <w:rsid w:val="001E5DFD"/>
    <w:rsid w:val="00212682"/>
    <w:rsid w:val="00236BFB"/>
    <w:rsid w:val="00240AAA"/>
    <w:rsid w:val="002543AF"/>
    <w:rsid w:val="0027120F"/>
    <w:rsid w:val="00286BC4"/>
    <w:rsid w:val="00290153"/>
    <w:rsid w:val="00293F01"/>
    <w:rsid w:val="002A5C18"/>
    <w:rsid w:val="002C3A0A"/>
    <w:rsid w:val="002D7839"/>
    <w:rsid w:val="002E6753"/>
    <w:rsid w:val="0030376C"/>
    <w:rsid w:val="00331728"/>
    <w:rsid w:val="003434DA"/>
    <w:rsid w:val="00367682"/>
    <w:rsid w:val="00377A19"/>
    <w:rsid w:val="00396407"/>
    <w:rsid w:val="00397C40"/>
    <w:rsid w:val="003A753E"/>
    <w:rsid w:val="003C74F0"/>
    <w:rsid w:val="003D28BE"/>
    <w:rsid w:val="003F4D95"/>
    <w:rsid w:val="004069F6"/>
    <w:rsid w:val="00414F41"/>
    <w:rsid w:val="00433EAC"/>
    <w:rsid w:val="00442968"/>
    <w:rsid w:val="00442EBD"/>
    <w:rsid w:val="00445E56"/>
    <w:rsid w:val="0045420A"/>
    <w:rsid w:val="004627A8"/>
    <w:rsid w:val="004647DF"/>
    <w:rsid w:val="00473987"/>
    <w:rsid w:val="004B34BB"/>
    <w:rsid w:val="004C4395"/>
    <w:rsid w:val="004D5385"/>
    <w:rsid w:val="004F791A"/>
    <w:rsid w:val="00504683"/>
    <w:rsid w:val="00504701"/>
    <w:rsid w:val="0050728D"/>
    <w:rsid w:val="00507867"/>
    <w:rsid w:val="00507B27"/>
    <w:rsid w:val="005329D7"/>
    <w:rsid w:val="00532B40"/>
    <w:rsid w:val="005428ED"/>
    <w:rsid w:val="00546023"/>
    <w:rsid w:val="00565B3F"/>
    <w:rsid w:val="00571D71"/>
    <w:rsid w:val="005756AC"/>
    <w:rsid w:val="00595106"/>
    <w:rsid w:val="005B6EC7"/>
    <w:rsid w:val="005C2CA9"/>
    <w:rsid w:val="005D03E9"/>
    <w:rsid w:val="005D60E5"/>
    <w:rsid w:val="005D6829"/>
    <w:rsid w:val="005E154B"/>
    <w:rsid w:val="00606425"/>
    <w:rsid w:val="00610A0D"/>
    <w:rsid w:val="006170B5"/>
    <w:rsid w:val="00635282"/>
    <w:rsid w:val="00655E69"/>
    <w:rsid w:val="00656A92"/>
    <w:rsid w:val="0066231E"/>
    <w:rsid w:val="006644B0"/>
    <w:rsid w:val="00693D0A"/>
    <w:rsid w:val="006A6D7E"/>
    <w:rsid w:val="006C07E3"/>
    <w:rsid w:val="006C6EED"/>
    <w:rsid w:val="006D1A53"/>
    <w:rsid w:val="006E144D"/>
    <w:rsid w:val="006E194D"/>
    <w:rsid w:val="006F0A66"/>
    <w:rsid w:val="006F1831"/>
    <w:rsid w:val="006F28DE"/>
    <w:rsid w:val="006F2CCA"/>
    <w:rsid w:val="007016FC"/>
    <w:rsid w:val="00705C06"/>
    <w:rsid w:val="00715488"/>
    <w:rsid w:val="00720322"/>
    <w:rsid w:val="00726A64"/>
    <w:rsid w:val="00744A6F"/>
    <w:rsid w:val="007461EC"/>
    <w:rsid w:val="00747B78"/>
    <w:rsid w:val="00774726"/>
    <w:rsid w:val="007829A3"/>
    <w:rsid w:val="00782C3E"/>
    <w:rsid w:val="00793B7D"/>
    <w:rsid w:val="007A2161"/>
    <w:rsid w:val="007A2AED"/>
    <w:rsid w:val="007C6EA0"/>
    <w:rsid w:val="007E3768"/>
    <w:rsid w:val="007F16BC"/>
    <w:rsid w:val="007F3FFA"/>
    <w:rsid w:val="00801EEA"/>
    <w:rsid w:val="00804614"/>
    <w:rsid w:val="00805026"/>
    <w:rsid w:val="00825AD9"/>
    <w:rsid w:val="00836B91"/>
    <w:rsid w:val="00864469"/>
    <w:rsid w:val="00871168"/>
    <w:rsid w:val="00884A9A"/>
    <w:rsid w:val="00892A7C"/>
    <w:rsid w:val="008A0725"/>
    <w:rsid w:val="008A109B"/>
    <w:rsid w:val="008A1559"/>
    <w:rsid w:val="008A7207"/>
    <w:rsid w:val="008C004E"/>
    <w:rsid w:val="008C4684"/>
    <w:rsid w:val="008C55BD"/>
    <w:rsid w:val="008E239F"/>
    <w:rsid w:val="008E3F84"/>
    <w:rsid w:val="008F7B1C"/>
    <w:rsid w:val="009032D8"/>
    <w:rsid w:val="0091278B"/>
    <w:rsid w:val="009232E8"/>
    <w:rsid w:val="00965523"/>
    <w:rsid w:val="00967D21"/>
    <w:rsid w:val="00970819"/>
    <w:rsid w:val="009809A4"/>
    <w:rsid w:val="00981059"/>
    <w:rsid w:val="00990AA6"/>
    <w:rsid w:val="009A324B"/>
    <w:rsid w:val="009A3D85"/>
    <w:rsid w:val="009A4AA4"/>
    <w:rsid w:val="009A5BD7"/>
    <w:rsid w:val="009C0376"/>
    <w:rsid w:val="009C2310"/>
    <w:rsid w:val="009C234B"/>
    <w:rsid w:val="009D452D"/>
    <w:rsid w:val="009E01D9"/>
    <w:rsid w:val="009E241E"/>
    <w:rsid w:val="009E428A"/>
    <w:rsid w:val="009E7039"/>
    <w:rsid w:val="00A0126E"/>
    <w:rsid w:val="00A048B6"/>
    <w:rsid w:val="00A17286"/>
    <w:rsid w:val="00A17D1B"/>
    <w:rsid w:val="00A22BCB"/>
    <w:rsid w:val="00A24093"/>
    <w:rsid w:val="00A43266"/>
    <w:rsid w:val="00A478CB"/>
    <w:rsid w:val="00A51869"/>
    <w:rsid w:val="00A547BE"/>
    <w:rsid w:val="00A64C0A"/>
    <w:rsid w:val="00A67ABA"/>
    <w:rsid w:val="00A81BE6"/>
    <w:rsid w:val="00A90FB0"/>
    <w:rsid w:val="00A924CC"/>
    <w:rsid w:val="00AC69E1"/>
    <w:rsid w:val="00AF5B18"/>
    <w:rsid w:val="00AF6C7F"/>
    <w:rsid w:val="00B141B2"/>
    <w:rsid w:val="00B17438"/>
    <w:rsid w:val="00B17444"/>
    <w:rsid w:val="00B238FA"/>
    <w:rsid w:val="00B24C21"/>
    <w:rsid w:val="00B33F85"/>
    <w:rsid w:val="00B357EC"/>
    <w:rsid w:val="00B420E5"/>
    <w:rsid w:val="00B42848"/>
    <w:rsid w:val="00B430F1"/>
    <w:rsid w:val="00B5353F"/>
    <w:rsid w:val="00B56DBE"/>
    <w:rsid w:val="00B6026D"/>
    <w:rsid w:val="00B6280B"/>
    <w:rsid w:val="00B6641D"/>
    <w:rsid w:val="00B675F4"/>
    <w:rsid w:val="00B90C5F"/>
    <w:rsid w:val="00BA48E5"/>
    <w:rsid w:val="00BA4AE2"/>
    <w:rsid w:val="00BA5DA4"/>
    <w:rsid w:val="00BC0CC0"/>
    <w:rsid w:val="00BC64E8"/>
    <w:rsid w:val="00BE27DB"/>
    <w:rsid w:val="00BE548A"/>
    <w:rsid w:val="00BF285E"/>
    <w:rsid w:val="00BF2F46"/>
    <w:rsid w:val="00BF430F"/>
    <w:rsid w:val="00C05921"/>
    <w:rsid w:val="00C12248"/>
    <w:rsid w:val="00C35B7E"/>
    <w:rsid w:val="00C50A12"/>
    <w:rsid w:val="00C73133"/>
    <w:rsid w:val="00C818B5"/>
    <w:rsid w:val="00C940D0"/>
    <w:rsid w:val="00CA2956"/>
    <w:rsid w:val="00CA33AD"/>
    <w:rsid w:val="00CA47CA"/>
    <w:rsid w:val="00CB1B68"/>
    <w:rsid w:val="00CB7C00"/>
    <w:rsid w:val="00CC5797"/>
    <w:rsid w:val="00CD15B5"/>
    <w:rsid w:val="00CD2F02"/>
    <w:rsid w:val="00CF036B"/>
    <w:rsid w:val="00D059DB"/>
    <w:rsid w:val="00D061AE"/>
    <w:rsid w:val="00D1044B"/>
    <w:rsid w:val="00D134F0"/>
    <w:rsid w:val="00D3042F"/>
    <w:rsid w:val="00D320B2"/>
    <w:rsid w:val="00D404CA"/>
    <w:rsid w:val="00D455CB"/>
    <w:rsid w:val="00D56734"/>
    <w:rsid w:val="00D56A8C"/>
    <w:rsid w:val="00D61549"/>
    <w:rsid w:val="00D72B55"/>
    <w:rsid w:val="00D75392"/>
    <w:rsid w:val="00DA0E39"/>
    <w:rsid w:val="00DA494D"/>
    <w:rsid w:val="00DA72F4"/>
    <w:rsid w:val="00DA75D1"/>
    <w:rsid w:val="00DA7D8F"/>
    <w:rsid w:val="00DB175C"/>
    <w:rsid w:val="00DB22D0"/>
    <w:rsid w:val="00DB5710"/>
    <w:rsid w:val="00DB60A0"/>
    <w:rsid w:val="00DB6718"/>
    <w:rsid w:val="00DC1870"/>
    <w:rsid w:val="00DD6A44"/>
    <w:rsid w:val="00DE56B9"/>
    <w:rsid w:val="00E252B1"/>
    <w:rsid w:val="00E25AAC"/>
    <w:rsid w:val="00E3093D"/>
    <w:rsid w:val="00E32A58"/>
    <w:rsid w:val="00E32F03"/>
    <w:rsid w:val="00E3719E"/>
    <w:rsid w:val="00E440F2"/>
    <w:rsid w:val="00E533BD"/>
    <w:rsid w:val="00E55E92"/>
    <w:rsid w:val="00E72209"/>
    <w:rsid w:val="00E73303"/>
    <w:rsid w:val="00E80F52"/>
    <w:rsid w:val="00E84E26"/>
    <w:rsid w:val="00EA18AB"/>
    <w:rsid w:val="00EA269B"/>
    <w:rsid w:val="00EA316E"/>
    <w:rsid w:val="00EA3946"/>
    <w:rsid w:val="00EA5612"/>
    <w:rsid w:val="00EA6B8B"/>
    <w:rsid w:val="00EC10B9"/>
    <w:rsid w:val="00ED61B2"/>
    <w:rsid w:val="00ED6CE9"/>
    <w:rsid w:val="00F009B8"/>
    <w:rsid w:val="00F06678"/>
    <w:rsid w:val="00F07241"/>
    <w:rsid w:val="00F17553"/>
    <w:rsid w:val="00F21411"/>
    <w:rsid w:val="00F2311C"/>
    <w:rsid w:val="00F27BE9"/>
    <w:rsid w:val="00F27DDC"/>
    <w:rsid w:val="00F32849"/>
    <w:rsid w:val="00F342C3"/>
    <w:rsid w:val="00F52BC1"/>
    <w:rsid w:val="00F548A5"/>
    <w:rsid w:val="00F60C6C"/>
    <w:rsid w:val="00F6547E"/>
    <w:rsid w:val="00F72030"/>
    <w:rsid w:val="00F9538E"/>
    <w:rsid w:val="00F95822"/>
    <w:rsid w:val="00FA42CC"/>
    <w:rsid w:val="00FB1774"/>
    <w:rsid w:val="00FB40F8"/>
    <w:rsid w:val="00FB7A20"/>
    <w:rsid w:val="00FC6E67"/>
    <w:rsid w:val="00FD5C22"/>
    <w:rsid w:val="00FE4A9A"/>
    <w:rsid w:val="00FF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EF5DA"/>
  <w15:chartTrackingRefBased/>
  <w15:docId w15:val="{F36E7F9C-64BC-455F-93AF-CCB032D6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647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3BD"/>
  </w:style>
  <w:style w:type="paragraph" w:styleId="Stopka">
    <w:name w:val="footer"/>
    <w:basedOn w:val="Normalny"/>
    <w:link w:val="Stopka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3BD"/>
  </w:style>
  <w:style w:type="paragraph" w:styleId="NormalnyWeb">
    <w:name w:val="Normal (Web)"/>
    <w:basedOn w:val="Normalny"/>
    <w:uiPriority w:val="99"/>
    <w:unhideWhenUsed/>
    <w:rsid w:val="00271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7120F"/>
    <w:rPr>
      <w:color w:val="0000FF"/>
      <w:u w:val="single"/>
    </w:rPr>
  </w:style>
  <w:style w:type="character" w:customStyle="1" w:styleId="hgkelc">
    <w:name w:val="hgkelc"/>
    <w:basedOn w:val="Domylnaczcionkaakapitu"/>
    <w:rsid w:val="00E3719E"/>
  </w:style>
  <w:style w:type="character" w:styleId="Pogrubienie">
    <w:name w:val="Strong"/>
    <w:basedOn w:val="Domylnaczcionkaakapitu"/>
    <w:uiPriority w:val="22"/>
    <w:qFormat/>
    <w:rsid w:val="004C4395"/>
    <w:rPr>
      <w:b/>
      <w:bCs/>
    </w:rPr>
  </w:style>
  <w:style w:type="paragraph" w:styleId="Bezodstpw">
    <w:name w:val="No Spacing"/>
    <w:uiPriority w:val="1"/>
    <w:qFormat/>
    <w:rsid w:val="00F27BE9"/>
    <w:pPr>
      <w:spacing w:after="0" w:line="240" w:lineRule="auto"/>
    </w:pPr>
  </w:style>
  <w:style w:type="paragraph" w:customStyle="1" w:styleId="Textbody">
    <w:name w:val="Text body"/>
    <w:basedOn w:val="Normalny"/>
    <w:rsid w:val="00571D71"/>
    <w:pPr>
      <w:widowControl w:val="0"/>
      <w:suppressAutoHyphens/>
      <w:autoSpaceDN w:val="0"/>
      <w:spacing w:after="12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75392"/>
    <w:pPr>
      <w:spacing w:after="0" w:line="240" w:lineRule="auto"/>
      <w:ind w:left="720"/>
      <w:contextualSpacing/>
    </w:pPr>
    <w:rPr>
      <w:rFonts w:ascii="Calibri" w:hAnsi="Calibri" w:cs="Calibri"/>
      <w:lang w:eastAsia="pl-PL"/>
    </w:rPr>
  </w:style>
  <w:style w:type="character" w:styleId="Uwydatnienie">
    <w:name w:val="Emphasis"/>
    <w:basedOn w:val="Domylnaczcionkaakapitu"/>
    <w:uiPriority w:val="20"/>
    <w:qFormat/>
    <w:rsid w:val="000E427E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4647D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custom-1oer2oc">
    <w:name w:val="custom-1oer2oc"/>
    <w:basedOn w:val="Normalny"/>
    <w:rsid w:val="0046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47B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47B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47B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3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5A948-74EE-46C4-AA71-52FAB671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4</Pages>
  <Words>747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Kazimierczak</dc:creator>
  <cp:keywords/>
  <dc:description/>
  <cp:lastModifiedBy>Mikołaj Ostrowski</cp:lastModifiedBy>
  <cp:revision>40</cp:revision>
  <cp:lastPrinted>2023-07-05T08:38:00Z</cp:lastPrinted>
  <dcterms:created xsi:type="dcterms:W3CDTF">2023-08-01T11:21:00Z</dcterms:created>
  <dcterms:modified xsi:type="dcterms:W3CDTF">2023-12-01T13:49:00Z</dcterms:modified>
</cp:coreProperties>
</file>